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1B199" w14:textId="40D139D9" w:rsidR="00776E11" w:rsidRDefault="00776E11" w:rsidP="00776E11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34B2F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244738EA" w14:textId="674B224E" w:rsidR="00776E11" w:rsidRDefault="00776E11" w:rsidP="00776E11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4F57EF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5B5F25EC" w14:textId="77777777" w:rsidR="00776E11" w:rsidRDefault="00776E11" w:rsidP="00776E11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C3EC26C" w14:textId="77777777" w:rsidR="00776E11" w:rsidRPr="00D54DD9" w:rsidRDefault="00776E11" w:rsidP="00776E11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</w:p>
    <w:p w14:paraId="3EB59475" w14:textId="77777777" w:rsidR="00776E11" w:rsidRPr="00D54DD9" w:rsidRDefault="00776E11" w:rsidP="00776E11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570D23A5" w14:textId="77777777" w:rsidR="00776E11" w:rsidRPr="00D54DD9" w:rsidRDefault="00776E11" w:rsidP="00776E1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2E1D544C" w14:textId="77777777" w:rsidR="00776E11" w:rsidRPr="00D54DD9" w:rsidRDefault="00776E11" w:rsidP="00776E11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</w:p>
    <w:p w14:paraId="3637BBE8" w14:textId="6D5CC2E8" w:rsidR="00776E11" w:rsidRPr="005304E6" w:rsidRDefault="00776E11" w:rsidP="00776E11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Подходы к бальной оценке показателей результативности деятельности медицинских организаций </w:t>
      </w:r>
      <w:r w:rsidR="004F57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с </w:t>
      </w:r>
      <w:r w:rsidR="00E960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2</w:t>
      </w:r>
      <w:r w:rsidR="004F57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1 июля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5</w:t>
      </w:r>
      <w:r w:rsidRPr="005304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год</w:t>
      </w:r>
      <w:r w:rsidR="00544E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а</w:t>
      </w:r>
    </w:p>
    <w:p w14:paraId="13307406" w14:textId="77777777" w:rsidR="00776E11" w:rsidRPr="005304E6" w:rsidRDefault="00776E11" w:rsidP="00776E11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X="141" w:tblpY="1"/>
        <w:tblOverlap w:val="never"/>
        <w:tblW w:w="10328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527"/>
        <w:gridCol w:w="850"/>
        <w:gridCol w:w="14"/>
      </w:tblGrid>
      <w:tr w:rsidR="00776E11" w:rsidRPr="00FF424B" w14:paraId="357508B6" w14:textId="77777777" w:rsidTr="004F57EF">
        <w:trPr>
          <w:gridAfter w:val="1"/>
          <w:wAfter w:w="14" w:type="dxa"/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BB42" w14:textId="77777777" w:rsidR="00776E11" w:rsidRPr="00FF424B" w:rsidRDefault="00776E11" w:rsidP="004F5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ABD7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0414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Предположи-</w:t>
            </w:r>
          </w:p>
          <w:p w14:paraId="42A52965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D10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8C8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Макс. балл**</w:t>
            </w:r>
          </w:p>
        </w:tc>
      </w:tr>
      <w:tr w:rsidR="00776E11" w:rsidRPr="00FF424B" w14:paraId="66FE8A62" w14:textId="77777777" w:rsidTr="004F57EF">
        <w:trPr>
          <w:gridAfter w:val="1"/>
          <w:wAfter w:w="14" w:type="dxa"/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DBF6B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F16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776E11" w:rsidRPr="00FF424B" w14:paraId="4CC8E1D9" w14:textId="77777777" w:rsidTr="004F57EF">
        <w:trPr>
          <w:trHeight w:val="426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BCC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776E11" w:rsidRPr="00FF424B" w14:paraId="7D410DF8" w14:textId="77777777" w:rsidTr="004F57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2257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BA6" w14:textId="5EE5359C" w:rsidR="00776E11" w:rsidRPr="00FF424B" w:rsidRDefault="004F57EF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C133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080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3414F9F6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3 % - 0,5 балла;</w:t>
            </w:r>
          </w:p>
          <w:p w14:paraId="23C625E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7 % - 1 балл;</w:t>
            </w:r>
          </w:p>
          <w:p w14:paraId="03A949C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14:paraId="1080A4A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2F9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33E0358B" w14:textId="77777777" w:rsidTr="004F57EF">
        <w:trPr>
          <w:gridAfter w:val="1"/>
          <w:wAfter w:w="14" w:type="dxa"/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D9EE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5C98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72AF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B6A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6DA7AAC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544F099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 балла;</w:t>
            </w:r>
          </w:p>
          <w:p w14:paraId="772F4DA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балл;</w:t>
            </w:r>
          </w:p>
          <w:p w14:paraId="6CC2E62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EC0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2DE071D5" w14:textId="77777777" w:rsidTr="004F57EF">
        <w:trPr>
          <w:gridAfter w:val="1"/>
          <w:wAfter w:w="14" w:type="dxa"/>
          <w:trHeight w:val="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DD47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C715" w14:textId="39492954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</w:t>
            </w:r>
            <w:r w:rsidR="004F57EF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 на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</w:t>
            </w:r>
            <w:r w:rsidR="004F57EF" w:rsidRPr="004F57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или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диспансеризации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взрослых пациентов </w:t>
            </w:r>
            <w:r w:rsidR="004F57EF"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 подозрением на злокачественное новообразование</w:t>
            </w:r>
            <w:r w:rsidR="004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545BF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976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4FCA8DF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28B5B35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5DAD222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Выше среднего - 0,5 балла;</w:t>
            </w:r>
          </w:p>
          <w:p w14:paraId="560462C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24A5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776E11" w:rsidRPr="00FF424B" w14:paraId="20BA9184" w14:textId="77777777" w:rsidTr="004F57EF">
        <w:trPr>
          <w:gridAfter w:val="1"/>
          <w:wAfter w:w="14" w:type="dxa"/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D27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2B22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установленным диагнозом хроническая обструктивная болезнь легких, выявленным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46CA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858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3E2413A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09129EB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2A5F6E5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2A19626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4FA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1036242F" w14:textId="77777777" w:rsidTr="004F57EF">
        <w:trPr>
          <w:gridAfter w:val="1"/>
          <w:wAfter w:w="14" w:type="dxa"/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3D7C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914A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диспансеризации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EBC8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EB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 баллов;</w:t>
            </w:r>
          </w:p>
          <w:p w14:paraId="7002F93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5 %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0,5 балла;</w:t>
            </w:r>
          </w:p>
          <w:p w14:paraId="3D1E9B8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≥ 10 % -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 балл;</w:t>
            </w:r>
          </w:p>
          <w:p w14:paraId="5A42467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3B961FB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A8B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4F92E532" w14:textId="77777777" w:rsidTr="004F57EF">
        <w:trPr>
          <w:gridAfter w:val="1"/>
          <w:wAfter w:w="14" w:type="dxa"/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D40D" w14:textId="77777777" w:rsidR="00776E11" w:rsidRPr="001F712D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BA4E" w14:textId="55B57B38" w:rsidR="00776E11" w:rsidRPr="004F57EF" w:rsidRDefault="004F57EF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4F57EF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53C64" w14:textId="77777777" w:rsidR="00776E11" w:rsidRPr="001F712D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C47C" w14:textId="77777777" w:rsidR="00776E11" w:rsidRPr="001F712D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плана или более - 2 балла;</w:t>
            </w:r>
          </w:p>
          <w:p w14:paraId="3E60A223" w14:textId="77777777" w:rsidR="00776E11" w:rsidRPr="001F712D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F16F" w14:textId="77777777" w:rsidR="00776E11" w:rsidRPr="001F712D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425A3555" w14:textId="77777777" w:rsidTr="004F57EF">
        <w:trPr>
          <w:trHeight w:val="460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A00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776E11" w:rsidRPr="00FF424B" w14:paraId="0FC56835" w14:textId="77777777" w:rsidTr="004F57EF">
        <w:trPr>
          <w:gridAfter w:val="1"/>
          <w:wAfter w:w="14" w:type="dxa"/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D818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DEDE" w14:textId="4B9DBC52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кровообращения* </w:t>
            </w:r>
            <w:r w:rsidR="004F57EF">
              <w:t xml:space="preserve"> </w:t>
            </w:r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</w:t>
            </w:r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 xml:space="preserve">также которым выполнены аортокоронарное шунтирование, ангиопластика коронарных артерий со </w:t>
            </w:r>
            <w:proofErr w:type="spellStart"/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4F57EF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состоящих под диспансерным наблюдением,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пациентов с болезнями системы кровообращения*, </w:t>
            </w:r>
            <w:r w:rsidR="005F1DD2">
              <w:t xml:space="preserve"> </w:t>
            </w:r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стентированием</w:t>
            </w:r>
            <w:proofErr w:type="spellEnd"/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катетерная</w:t>
            </w:r>
            <w:proofErr w:type="spellEnd"/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абляция по поводу сердечно-сосудистых заболеваний).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4D5C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35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14:paraId="5275688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3 %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1 балл;</w:t>
            </w:r>
          </w:p>
          <w:p w14:paraId="7D36ECA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7 % -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2 балла;</w:t>
            </w:r>
          </w:p>
          <w:p w14:paraId="3F21FA6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балл;</w:t>
            </w:r>
          </w:p>
          <w:p w14:paraId="158FB6D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B1F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7232E99A" w14:textId="77777777" w:rsidTr="004F57EF">
        <w:trPr>
          <w:gridAfter w:val="1"/>
          <w:wAfter w:w="14" w:type="dxa"/>
          <w:trHeight w:val="55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842F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CB20" w14:textId="512B8F77" w:rsidR="00776E11" w:rsidRPr="00FF424B" w:rsidRDefault="005F1DD2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6E11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кровообращения*, </w:t>
            </w:r>
            <w:r>
              <w:t xml:space="preserve"> </w:t>
            </w:r>
            <w:r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</w:t>
            </w:r>
            <w:r w:rsidRP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6E11"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кровообращения*, за период. </w:t>
            </w:r>
          </w:p>
          <w:p w14:paraId="795F7279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B782B8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1EA2EF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5D9FB7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C4F0BE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548AE2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60BC1E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DB7B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F79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3B54149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23A75E9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14:paraId="66E4B05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14:paraId="6E4E634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495C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6479B3DC" w14:textId="77777777" w:rsidTr="004F57EF">
        <w:trPr>
          <w:gridAfter w:val="1"/>
          <w:wAfter w:w="14" w:type="dxa"/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B1E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E52B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09A0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F97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7288C655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9A0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34C2D777" w14:textId="77777777" w:rsidTr="004F57EF">
        <w:trPr>
          <w:gridAfter w:val="1"/>
          <w:wAfter w:w="14" w:type="dxa"/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F22A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F6AC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EEDE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425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771DECF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6EF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25AB2047" w14:textId="77777777" w:rsidTr="004F57EF">
        <w:trPr>
          <w:gridAfter w:val="1"/>
          <w:wAfter w:w="14" w:type="dxa"/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D2FD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F6D2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BB7F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861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5D1AA26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396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495E12B2" w14:textId="77777777" w:rsidTr="004F57EF">
        <w:trPr>
          <w:gridAfter w:val="1"/>
          <w:wAfter w:w="14" w:type="dxa"/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00F0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B30E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3FEF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621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479877A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3F3242D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10 % - 1 балл;</w:t>
            </w:r>
          </w:p>
          <w:p w14:paraId="063A11E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- 0,5 балла;</w:t>
            </w:r>
          </w:p>
          <w:p w14:paraId="7CCDE425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4AB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71DB4C02" w14:textId="77777777" w:rsidTr="004F57EF">
        <w:trPr>
          <w:gridAfter w:val="1"/>
          <w:wAfter w:w="14" w:type="dxa"/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0EEF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B041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B87C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BE4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3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01F832A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3 % - 1 балл;</w:t>
            </w:r>
          </w:p>
          <w:p w14:paraId="29BC816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7 % - 2 балла;</w:t>
            </w:r>
          </w:p>
          <w:p w14:paraId="3FBDC1A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- 1 балл;</w:t>
            </w:r>
          </w:p>
          <w:p w14:paraId="6DBB4E6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AA3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4D40A0ED" w14:textId="77777777" w:rsidTr="004F57EF">
        <w:trPr>
          <w:gridAfter w:val="1"/>
          <w:wAfter w:w="14" w:type="dxa"/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D9DF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FE46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8C17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934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6308C23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621087E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≥ 10 % - 1 балл;</w:t>
            </w:r>
          </w:p>
          <w:p w14:paraId="2F39CE4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 среднего - 0,5 балла;</w:t>
            </w:r>
          </w:p>
          <w:p w14:paraId="57AA75B1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FE9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234D391B" w14:textId="77777777" w:rsidTr="004F57EF">
        <w:trPr>
          <w:gridAfter w:val="1"/>
          <w:wAfter w:w="14" w:type="dxa"/>
          <w:trHeight w:val="471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6A752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E0F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76E11" w:rsidRPr="00FF424B" w14:paraId="316E4177" w14:textId="77777777" w:rsidTr="004F57EF">
        <w:trPr>
          <w:trHeight w:val="407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899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776E11" w:rsidRPr="00FF424B" w14:paraId="3CF56CEB" w14:textId="77777777" w:rsidTr="004F57EF">
        <w:trPr>
          <w:gridAfter w:val="1"/>
          <w:wAfter w:w="14" w:type="dxa"/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3823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829D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F8A1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720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100% плана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3DBFDF3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148F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11FDAEA9" w14:textId="77777777" w:rsidTr="004F57EF">
        <w:trPr>
          <w:gridAfter w:val="1"/>
          <w:wAfter w:w="14" w:type="dxa"/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4B57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0586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BB30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189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680F098F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8F5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726C44BD" w14:textId="77777777" w:rsidTr="004F57EF">
        <w:trPr>
          <w:gridAfter w:val="1"/>
          <w:wAfter w:w="14" w:type="dxa"/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49C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7270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7202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86D4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6366D3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075D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02C1D0A6" w14:textId="77777777" w:rsidTr="004F57EF">
        <w:trPr>
          <w:gridAfter w:val="1"/>
          <w:wAfter w:w="14" w:type="dxa"/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EB37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6DD5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B377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3EE0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1075055F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D9D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430F6702" w14:textId="77777777" w:rsidTr="004F57EF">
        <w:trPr>
          <w:gridAfter w:val="1"/>
          <w:wAfter w:w="14" w:type="dxa"/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305E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6B9A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6E18A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48DE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5FA34F6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0BB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6E11" w:rsidRPr="00FF424B" w14:paraId="37FD0449" w14:textId="77777777" w:rsidTr="004F57EF">
        <w:trPr>
          <w:gridAfter w:val="1"/>
          <w:wAfter w:w="14" w:type="dxa"/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8C2C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42A9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C71C9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CCD6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3CDEEA82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62FB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42AFFE40" w14:textId="77777777" w:rsidTr="004F57EF">
        <w:trPr>
          <w:gridAfter w:val="1"/>
          <w:wAfter w:w="14" w:type="dxa"/>
          <w:trHeight w:val="46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9A3AD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72C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76E11" w:rsidRPr="00FF424B" w14:paraId="11087DAE" w14:textId="77777777" w:rsidTr="004F57EF">
        <w:trPr>
          <w:trHeight w:val="425"/>
        </w:trPr>
        <w:tc>
          <w:tcPr>
            <w:tcW w:w="10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A554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776E11" w:rsidRPr="00FF424B" w14:paraId="36122EBE" w14:textId="77777777" w:rsidTr="004F57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40EC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66DE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14:paraId="065C10EB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01B8AD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168C40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F776C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6553F5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2C328" w14:textId="77777777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5B79C" w14:textId="77777777" w:rsidR="00776E11" w:rsidRPr="00FF424B" w:rsidRDefault="00776E11" w:rsidP="004F57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D2F6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4876E170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13B356C3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10 % - 1 балл;</w:t>
            </w:r>
          </w:p>
          <w:p w14:paraId="62143ED8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3DBBD3AA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E983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3720CCBE" w14:textId="77777777" w:rsidTr="004F57EF">
        <w:trPr>
          <w:gridAfter w:val="1"/>
          <w:wAfter w:w="14" w:type="dxa"/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F4EE" w14:textId="77777777" w:rsidR="00776E11" w:rsidRPr="001F712D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3A5B" w14:textId="2DE1B8E5" w:rsidR="00776E11" w:rsidRPr="001F712D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="005F1DD2">
              <w:t xml:space="preserve"> </w:t>
            </w:r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7A47A" w14:textId="77777777" w:rsidR="00776E11" w:rsidRPr="001F712D" w:rsidRDefault="00776E11" w:rsidP="004F57EF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B9FC" w14:textId="77777777" w:rsidR="00776E11" w:rsidRPr="001F712D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3904ADF9" w14:textId="77777777" w:rsidR="00776E11" w:rsidRPr="001F712D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F07E" w14:textId="77777777" w:rsidR="00776E11" w:rsidRPr="001F712D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12558A91" w14:textId="77777777" w:rsidTr="004F57EF">
        <w:trPr>
          <w:gridAfter w:val="1"/>
          <w:wAfter w:w="14" w:type="dxa"/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6CFE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0931" w14:textId="0406D8E3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 с </w:t>
            </w:r>
            <w:r w:rsidR="005F1DD2" w:rsidRPr="005F1D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</w:t>
            </w:r>
            <w:r w:rsid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шейки матки, выявленным впервые при </w:t>
            </w:r>
            <w:r w:rsidR="005F1DD2" w:rsidRP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</w:t>
            </w:r>
            <w:r w:rsidR="005F1DD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или</w:t>
            </w:r>
            <w:r w:rsid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="005F1DD2" w:rsidRPr="001147DA">
              <w:rPr>
                <w:color w:val="00B050"/>
              </w:rPr>
              <w:t xml:space="preserve">с </w:t>
            </w:r>
            <w:r w:rsidR="005F1DD2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="005F1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установленным диагнозом злокачественное новообразование шейки матки</w:t>
            </w:r>
            <w:r w:rsidR="00114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A6A20" w14:textId="77777777" w:rsidR="00776E11" w:rsidRPr="00FF424B" w:rsidRDefault="00776E11" w:rsidP="004F57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</w:t>
            </w:r>
          </w:p>
          <w:p w14:paraId="3046473C" w14:textId="77777777" w:rsidR="00776E11" w:rsidRPr="00FF424B" w:rsidRDefault="00776E11" w:rsidP="004F57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9B1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7174C5F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27DACEE6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10 % - 1 балл;</w:t>
            </w:r>
          </w:p>
          <w:p w14:paraId="10401C4F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068AB28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D45C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5E8BD662" w14:textId="77777777" w:rsidTr="004F57EF">
        <w:trPr>
          <w:gridAfter w:val="1"/>
          <w:wAfter w:w="14" w:type="dxa"/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988A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EB5C" w14:textId="5EC338C8" w:rsidR="00776E11" w:rsidRPr="00FF424B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женщин с </w:t>
            </w:r>
            <w:r w:rsidR="001147DA" w:rsidRPr="0011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подозрением</w:t>
            </w:r>
            <w:r w:rsidRPr="001147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="001147DA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профилактическом медицинском осмотре или</w:t>
            </w:r>
            <w:r w:rsidR="00114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="001147DA" w:rsidRPr="001147DA">
              <w:rPr>
                <w:color w:val="00B050"/>
              </w:rPr>
              <w:t xml:space="preserve">с </w:t>
            </w:r>
            <w:r w:rsidR="001147DA"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подозрением на злокачественное новообразование или впервые в жизни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установленным диагнозом злокачественное новообразование молочной железы</w:t>
            </w:r>
            <w:r w:rsidR="00114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2DA67" w14:textId="77777777" w:rsidR="00776E11" w:rsidRPr="00FF424B" w:rsidRDefault="00776E11" w:rsidP="004F57EF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показателя 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5ACF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Прирост </w:t>
            </w:r>
            <w:proofErr w:type="gramStart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 5</w:t>
            </w:r>
            <w:proofErr w:type="gramEnd"/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% - 0 баллов;</w:t>
            </w:r>
          </w:p>
          <w:p w14:paraId="7B95BCA5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5 % - 0,5 балла;</w:t>
            </w:r>
          </w:p>
          <w:p w14:paraId="3A72F31D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≥ 10 % - 1 балл;</w:t>
            </w:r>
          </w:p>
          <w:p w14:paraId="66E56C09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- 0,5 балла;</w:t>
            </w:r>
          </w:p>
          <w:p w14:paraId="0A6E8092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18B6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6E11" w:rsidRPr="00FF424B" w14:paraId="52472FFD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4664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4D89" w14:textId="77777777" w:rsidR="00776E11" w:rsidRPr="001147DA" w:rsidRDefault="00776E11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C4721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5F7" w14:textId="77777777" w:rsidR="00776E11" w:rsidRPr="00FF424B" w:rsidRDefault="00776E11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100 % плана </w:t>
            </w: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248D51CA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C00" w14:textId="77777777" w:rsidR="00776E11" w:rsidRPr="00FF424B" w:rsidRDefault="00776E11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147DA" w:rsidRPr="00FF424B" w14:paraId="0F7A42D7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6808F" w14:textId="4D16F66A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C3BD" w14:textId="3665A53A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8290B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3660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0799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7077078D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34BDC" w14:textId="6E5BFF84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EEF9" w14:textId="5F74B805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974D7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2049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9BF6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46C607C9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0276" w14:textId="59B0500A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458F" w14:textId="08201A1F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32683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45D7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EFD9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7AF48853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6E00D" w14:textId="7CCFF322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351A" w14:textId="58364D68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98133E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179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5188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5B5601C9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6403" w14:textId="7AB61EB0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8822" w14:textId="1B020C4A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Доля экспертиз качества медицинской помощи, в которых выявлены нарушения, приведшие к летальному исходу </w:t>
            </w: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lastRenderedPageBreak/>
              <w:t>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626F1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BF6F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C248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092FD338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589D" w14:textId="263F5883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37E8" w14:textId="7B1FDDFF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493F3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B4DB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1EC3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4E0A1AD4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9413" w14:textId="2839180D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770A" w14:textId="36703B30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2A82F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B59D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63E20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47DA" w:rsidRPr="00FF424B" w14:paraId="4AF28F7C" w14:textId="77777777" w:rsidTr="004F57EF">
        <w:trPr>
          <w:gridAfter w:val="1"/>
          <w:wAfter w:w="14" w:type="dxa"/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DFBAD" w14:textId="06D4B3C8" w:rsidR="001147DA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D0280" w14:textId="032D82FD" w:rsidR="001147DA" w:rsidRPr="001147DA" w:rsidRDefault="001147DA" w:rsidP="004F5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1147D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5BC7E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1F5E" w14:textId="77777777" w:rsidR="001147DA" w:rsidRPr="00FF424B" w:rsidRDefault="001147DA" w:rsidP="004F57E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1AB6" w14:textId="77777777" w:rsidR="001147DA" w:rsidRPr="00FF424B" w:rsidRDefault="001147DA" w:rsidP="004F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B2C101F" w14:textId="77777777" w:rsidR="001147DA" w:rsidRPr="00FF424B" w:rsidRDefault="001147DA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2BC986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0DDEF791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 по решению Комиссии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3DCC4001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равняется нулю, баллы по показателю не начисляются,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14:paraId="5FC04765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**** среднее значение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Республике Тыва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показателям рассчитыва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сведений 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сумму значений, указанных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Полученное значение умножается на 100 по аналогии с алгоритмом, описанным Приложением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 Тарифному соглашению</w:t>
      </w:r>
      <w:r w:rsidRPr="00FF4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7FD025" w14:textId="77777777" w:rsidR="00776E11" w:rsidRDefault="00776E11" w:rsidP="00776E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610F35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14:paraId="7E913027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22F14873" w14:textId="77777777" w:rsidR="00776E11" w:rsidRPr="00FF424B" w:rsidRDefault="00776E11" w:rsidP="00776E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4"/>
        <w:tblW w:w="103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2"/>
        <w:gridCol w:w="3124"/>
        <w:gridCol w:w="4243"/>
      </w:tblGrid>
      <w:tr w:rsidR="00776E11" w:rsidRPr="00FF424B" w14:paraId="656F74A0" w14:textId="77777777" w:rsidTr="004F57EF">
        <w:trPr>
          <w:trHeight w:val="845"/>
          <w:tblHeader/>
        </w:trPr>
        <w:tc>
          <w:tcPr>
            <w:tcW w:w="2972" w:type="dxa"/>
            <w:vAlign w:val="center"/>
          </w:tcPr>
          <w:p w14:paraId="1D75160F" w14:textId="77777777" w:rsidR="00776E11" w:rsidRPr="00FF424B" w:rsidRDefault="00776E11" w:rsidP="004F57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t>Основной диагноз</w:t>
            </w:r>
          </w:p>
        </w:tc>
        <w:tc>
          <w:tcPr>
            <w:tcW w:w="3124" w:type="dxa"/>
            <w:vAlign w:val="center"/>
          </w:tcPr>
          <w:p w14:paraId="2FDBEC5B" w14:textId="77777777" w:rsidR="00776E11" w:rsidRPr="00FF424B" w:rsidRDefault="00776E11" w:rsidP="004F57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14:paraId="23072DA9" w14:textId="77777777" w:rsidR="00776E11" w:rsidRPr="00FF424B" w:rsidRDefault="00776E11" w:rsidP="004F57EF">
            <w:pPr>
              <w:spacing w:after="160" w:line="259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/>
                <w:color w:val="000000"/>
                <w:sz w:val="24"/>
                <w:szCs w:val="24"/>
              </w:rPr>
              <w:t>Осложнение заболевания</w:t>
            </w:r>
          </w:p>
        </w:tc>
      </w:tr>
      <w:tr w:rsidR="00776E11" w:rsidRPr="00FF424B" w14:paraId="4BBEEF7E" w14:textId="77777777" w:rsidTr="004F57EF">
        <w:tc>
          <w:tcPr>
            <w:tcW w:w="2972" w:type="dxa"/>
          </w:tcPr>
          <w:p w14:paraId="7FD9FBDB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Ишемические болезни сердца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25</w:t>
            </w:r>
          </w:p>
          <w:p w14:paraId="68A009AD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Гипертензивные болезни 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11;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12-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13</w:t>
            </w:r>
          </w:p>
          <w:p w14:paraId="5EA01B45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Цереброваскулярные болезни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60-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24" w:type="dxa"/>
          </w:tcPr>
          <w:p w14:paraId="3F4315B6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Сахарный диабет 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br/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E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E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  <w:p w14:paraId="0BA4B353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Хроническая обструктивная легочная болезнь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44.0-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44.9</w:t>
            </w:r>
          </w:p>
          <w:p w14:paraId="48802036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18.1-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14:paraId="7660A622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сердечная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50.0-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50.9</w:t>
            </w:r>
          </w:p>
          <w:p w14:paraId="74D2637B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Cs/>
                <w:iCs/>
                <w:color w:val="000000"/>
                <w:sz w:val="24"/>
                <w:szCs w:val="24"/>
              </w:rPr>
              <w:t xml:space="preserve">Нарушение ритма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48-49</w:t>
            </w:r>
          </w:p>
          <w:p w14:paraId="463F4CB6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bCs/>
                <w:iCs/>
                <w:color w:val="000000"/>
                <w:sz w:val="24"/>
                <w:szCs w:val="24"/>
              </w:rPr>
              <w:t xml:space="preserve">Нарушения проводимости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44-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45</w:t>
            </w:r>
          </w:p>
          <w:p w14:paraId="056EB2AB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Сердце легочное хроническое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27.9</w:t>
            </w:r>
          </w:p>
          <w:p w14:paraId="02C907B7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Гипостатическая пневмония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18.2</w:t>
            </w:r>
          </w:p>
          <w:p w14:paraId="7539B6CB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почечная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18.9</w:t>
            </w:r>
          </w:p>
          <w:p w14:paraId="4226763F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Уремия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N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19</w:t>
            </w:r>
          </w:p>
          <w:p w14:paraId="58931A0A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Гангрена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R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02 </w:t>
            </w:r>
          </w:p>
          <w:p w14:paraId="1E5AD298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Недостаточность легочная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98.4</w:t>
            </w:r>
          </w:p>
          <w:p w14:paraId="1D4DC658" w14:textId="77777777" w:rsidR="00776E11" w:rsidRPr="00FF424B" w:rsidRDefault="00776E11" w:rsidP="004F57EF">
            <w:pPr>
              <w:spacing w:after="40" w:line="259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FF424B">
              <w:rPr>
                <w:rFonts w:eastAsia="Calibri"/>
                <w:color w:val="000000"/>
                <w:sz w:val="24"/>
                <w:szCs w:val="24"/>
              </w:rPr>
              <w:t xml:space="preserve">Эмфизема </w:t>
            </w:r>
            <w:r w:rsidRPr="00FF424B">
              <w:rPr>
                <w:rFonts w:eastAsia="Calibri"/>
                <w:color w:val="000000"/>
                <w:sz w:val="24"/>
                <w:szCs w:val="24"/>
                <w:lang w:val="en-US"/>
              </w:rPr>
              <w:t>J</w:t>
            </w:r>
            <w:r w:rsidRPr="00FF424B">
              <w:rPr>
                <w:rFonts w:eastAsia="Calibri"/>
                <w:color w:val="000000"/>
                <w:sz w:val="24"/>
                <w:szCs w:val="24"/>
              </w:rPr>
              <w:t>43.9</w:t>
            </w:r>
          </w:p>
        </w:tc>
      </w:tr>
    </w:tbl>
    <w:p w14:paraId="76F68039" w14:textId="77777777" w:rsidR="00776E11" w:rsidRDefault="00776E11" w:rsidP="00776E11">
      <w:pPr>
        <w:widowControl w:val="0"/>
        <w:tabs>
          <w:tab w:val="left" w:pos="1066"/>
        </w:tabs>
        <w:spacing w:after="0" w:line="322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0808044A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10B34CF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F0916AA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F81144B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391DAA5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17D48C4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98FB7A9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5776FC8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EA17EA6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F53A237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994EAAC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50FC7F7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ADAE088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11EFD54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6DB9F960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F7A29D8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D86E292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1BEDB2D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34625896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17CD361F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7D8C4D73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0E3EC3EF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2FE21DEA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</w:p>
    <w:p w14:paraId="433A7DE4" w14:textId="77777777" w:rsidR="00776E11" w:rsidRDefault="00776E11" w:rsidP="00081F4B">
      <w:pPr>
        <w:autoSpaceDE w:val="0"/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776E11" w:rsidSect="00FF424B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303AF"/>
    <w:rsid w:val="00065119"/>
    <w:rsid w:val="00065F4D"/>
    <w:rsid w:val="00081F4B"/>
    <w:rsid w:val="000B1E4B"/>
    <w:rsid w:val="001147DA"/>
    <w:rsid w:val="001226BB"/>
    <w:rsid w:val="00184682"/>
    <w:rsid w:val="00187196"/>
    <w:rsid w:val="001927AD"/>
    <w:rsid w:val="001A7585"/>
    <w:rsid w:val="001D229C"/>
    <w:rsid w:val="001F6DDD"/>
    <w:rsid w:val="001F712D"/>
    <w:rsid w:val="00215992"/>
    <w:rsid w:val="002A5BF6"/>
    <w:rsid w:val="002B4A9C"/>
    <w:rsid w:val="003067E8"/>
    <w:rsid w:val="00317524"/>
    <w:rsid w:val="00461316"/>
    <w:rsid w:val="004764D7"/>
    <w:rsid w:val="004D6330"/>
    <w:rsid w:val="004E08BC"/>
    <w:rsid w:val="004F57EF"/>
    <w:rsid w:val="005304E6"/>
    <w:rsid w:val="0053237C"/>
    <w:rsid w:val="00544E54"/>
    <w:rsid w:val="005F1DD2"/>
    <w:rsid w:val="00614FAC"/>
    <w:rsid w:val="0062786A"/>
    <w:rsid w:val="006A1DBF"/>
    <w:rsid w:val="006C21CE"/>
    <w:rsid w:val="006D4B4A"/>
    <w:rsid w:val="00711D36"/>
    <w:rsid w:val="00753EFA"/>
    <w:rsid w:val="00776E11"/>
    <w:rsid w:val="007A1DDF"/>
    <w:rsid w:val="007C636C"/>
    <w:rsid w:val="007D76E3"/>
    <w:rsid w:val="007E6949"/>
    <w:rsid w:val="0091312D"/>
    <w:rsid w:val="0091494A"/>
    <w:rsid w:val="00937F29"/>
    <w:rsid w:val="00941785"/>
    <w:rsid w:val="00944BB9"/>
    <w:rsid w:val="00993843"/>
    <w:rsid w:val="009941B4"/>
    <w:rsid w:val="009B7083"/>
    <w:rsid w:val="009E0C7E"/>
    <w:rsid w:val="009F0C21"/>
    <w:rsid w:val="00A1392C"/>
    <w:rsid w:val="00AA4FE1"/>
    <w:rsid w:val="00B016D8"/>
    <w:rsid w:val="00B5183D"/>
    <w:rsid w:val="00C20F02"/>
    <w:rsid w:val="00C235A6"/>
    <w:rsid w:val="00C34B2F"/>
    <w:rsid w:val="00CA615A"/>
    <w:rsid w:val="00CD2694"/>
    <w:rsid w:val="00D54DD9"/>
    <w:rsid w:val="00D67827"/>
    <w:rsid w:val="00D72672"/>
    <w:rsid w:val="00D82944"/>
    <w:rsid w:val="00D94ABB"/>
    <w:rsid w:val="00DB2FE8"/>
    <w:rsid w:val="00DB4759"/>
    <w:rsid w:val="00DE148C"/>
    <w:rsid w:val="00DE21CB"/>
    <w:rsid w:val="00E15BF8"/>
    <w:rsid w:val="00E265DA"/>
    <w:rsid w:val="00E93CFF"/>
    <w:rsid w:val="00E960A7"/>
    <w:rsid w:val="00FC6487"/>
    <w:rsid w:val="00FC7B7F"/>
    <w:rsid w:val="00FE312A"/>
    <w:rsid w:val="00FF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487D"/>
  <w15:docId w15:val="{8D401988-CB54-4714-9503-8B0B1FB7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table" w:styleId="a7">
    <w:name w:val="Table Grid"/>
    <w:basedOn w:val="a1"/>
    <w:rsid w:val="00D82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rsid w:val="00FF4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70</cp:revision>
  <cp:lastPrinted>2023-01-24T10:28:00Z</cp:lastPrinted>
  <dcterms:created xsi:type="dcterms:W3CDTF">2015-12-13T04:43:00Z</dcterms:created>
  <dcterms:modified xsi:type="dcterms:W3CDTF">2025-07-31T04:18:00Z</dcterms:modified>
</cp:coreProperties>
</file>